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sz w:val="22"/>
          <w:szCs w:val="22"/>
        </w:rPr>
      </w:pPr>
      <w:r>
        <w:rPr/>
      </w:r>
    </w:p>
    <w:p>
      <w:pPr>
        <w:pStyle w:val="Normal"/>
        <w:ind w:left="4820" w:hanging="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</w:t>
      </w:r>
    </w:p>
    <w:p>
      <w:pPr>
        <w:pStyle w:val="Heading4"/>
        <w:tabs>
          <w:tab w:val="clear" w:pos="0"/>
        </w:tabs>
        <w:spacing w:lineRule="auto" w:line="288" w:before="240" w:after="60"/>
        <w:ind w:left="574" w:hanging="432"/>
        <w:rPr/>
      </w:pPr>
      <w:r>
        <w:rPr>
          <w:lang w:val="ru-RU"/>
        </w:rPr>
        <w:t xml:space="preserve">1. </w:t>
      </w:r>
      <w:r>
        <w:rPr/>
        <w:t xml:space="preserve"> </w:t>
      </w:r>
      <w:r>
        <w:rPr>
          <w:lang w:val="ru-RU"/>
        </w:rPr>
        <w:t xml:space="preserve">Заказчик: </w:t>
      </w:r>
      <w:r>
        <w:rPr>
          <w:b w:val="false"/>
          <w:lang w:val="ru-RU"/>
        </w:rPr>
        <w:t>ПАО «РусГидро», для нужд филиала ПАО «РусГидро» - «Загорская ГАЭС»</w:t>
      </w:r>
      <w:r>
        <w:rPr>
          <w:b w:val="false"/>
          <w:i/>
        </w:rPr>
        <w:t>.</w:t>
      </w:r>
    </w:p>
    <w:p>
      <w:pPr>
        <w:pStyle w:val="Heading4"/>
        <w:numPr>
          <w:ilvl w:val="0"/>
          <w:numId w:val="9"/>
        </w:numPr>
        <w:spacing w:lineRule="auto" w:line="288" w:before="240" w:after="60"/>
        <w:rPr/>
      </w:pPr>
      <w:bookmarkStart w:id="0" w:name="_Toc46743507"/>
      <w:bookmarkStart w:id="1" w:name="_Toc124774112"/>
      <w:r>
        <w:rPr/>
        <w:t xml:space="preserve">Цель </w:t>
      </w:r>
      <w:bookmarkEnd w:id="0"/>
      <w:bookmarkEnd w:id="1"/>
      <w:r>
        <w:rPr>
          <w:lang w:val="ru-RU"/>
        </w:rPr>
        <w:t>выполнения</w:t>
      </w:r>
      <w:r>
        <w:rPr>
          <w:lang w:val="en-US"/>
        </w:rPr>
        <w:t xml:space="preserve"> </w:t>
      </w:r>
      <w:r>
        <w:rPr>
          <w:lang w:val="ru-RU"/>
        </w:rPr>
        <w:t xml:space="preserve">работ.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кадастровых работы по подготовке документов для учета изменений сведений в Единый государственный реестр недвижимости в части переименования объекта недвижимости - </w:t>
      </w:r>
      <w:r>
        <w:rPr>
          <w:rFonts w:eastAsia="Calibri" w:cs="" w:cstheme="minorBidi" w:eastAsia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>«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Здание мойки грузового автотранспорта. Хоздвор.</w:t>
      </w:r>
      <w:r>
        <w:rPr>
          <w:rFonts w:eastAsia="Calibri" w:cs="" w:cstheme="minorBidi" w:eastAsia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>»</w:t>
      </w:r>
      <w:r>
        <w:rPr>
          <w:sz w:val="24"/>
          <w:szCs w:val="24"/>
        </w:rPr>
        <w:t xml:space="preserve"> (инв. № </w:t>
      </w:r>
      <w:r>
        <w:rPr>
          <w:rFonts w:eastAsia="Calibri" w:cs="Times New Roman" w:eastAsiaTheme="minorHAnsi"/>
          <w:b w:val="false"/>
          <w:i w:val="false"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 w:eastAsia="en-US" w:bidi="ar-SA"/>
        </w:rPr>
        <w:t>ЗГ10201</w:t>
      </w:r>
      <w:r>
        <w:rPr>
          <w:sz w:val="24"/>
          <w:szCs w:val="24"/>
        </w:rPr>
        <w:t xml:space="preserve">),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кадастровый номер 50:05:0100134:965,</w:t>
      </w:r>
      <w:r>
        <w:rPr>
          <w:rFonts w:eastAsia="Calibri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расположенный по адресу: М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осковская обл., Сергиево-Посадский городской округ, пгт. Богородское, д. 100 строение 15.</w:t>
      </w:r>
    </w:p>
    <w:p>
      <w:pPr>
        <w:pStyle w:val="Heading4"/>
        <w:spacing w:lineRule="auto" w:line="288" w:before="240" w:after="60"/>
        <w:ind w:left="0" w:hanging="0"/>
        <w:rPr/>
      </w:pPr>
      <w:r>
        <w:rPr>
          <w:rFonts w:eastAsia="Times New Roman"/>
          <w:lang w:val="ru-RU" w:eastAsia="ru-RU"/>
        </w:rPr>
        <w:t xml:space="preserve"> </w:t>
      </w:r>
      <w:r>
        <w:rPr>
          <w:rFonts w:eastAsia="Times New Roman"/>
          <w:lang w:val="ru-RU" w:eastAsia="ru-RU"/>
        </w:rPr>
        <w:t xml:space="preserve">3. </w:t>
      </w:r>
      <w:r>
        <w:rPr>
          <w:rFonts w:eastAsia="Times New Roman"/>
          <w:b w:val="false"/>
          <w:bCs w:val="false"/>
          <w:i/>
          <w:lang w:val="ru-RU" w:eastAsia="ru-RU"/>
        </w:rPr>
        <w:t xml:space="preserve"> </w:t>
      </w:r>
      <w:bookmarkStart w:id="2" w:name="_Toc124774113"/>
      <w:bookmarkStart w:id="3" w:name="_Toc46743508"/>
      <w:r>
        <w:rPr/>
        <w:t>Существующее положение</w:t>
      </w:r>
      <w:bookmarkEnd w:id="2"/>
      <w:bookmarkEnd w:id="3"/>
    </w:p>
    <w:p>
      <w:pPr>
        <w:pStyle w:val="Normal"/>
        <w:widowControl/>
        <w:suppressAutoHyphens w:val="true"/>
        <w:bidi w:val="0"/>
        <w:spacing w:lineRule="auto" w:line="288" w:before="0" w:after="0"/>
        <w:ind w:left="0" w:right="0" w:firstLine="567"/>
        <w:contextualSpacing/>
        <w:jc w:val="both"/>
        <w:rPr/>
      </w:pPr>
      <w:r>
        <w:rPr>
          <w:sz w:val="24"/>
          <w:szCs w:val="24"/>
        </w:rPr>
        <w:t xml:space="preserve">Изменение наименования объекта недвижимости производится на основании приказа Филиала ПАО «РусГидро» - «Загорская ГАЭС от 02.04.2026 № ЗГАЭС/83-249. Навое наименование объекта недвижимости указано в приложении к приказу.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17"/>
        <w:gridCol w:w="2853"/>
        <w:gridCol w:w="2135"/>
        <w:gridCol w:w="2129"/>
        <w:gridCol w:w="1984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/>
            </w:pPr>
            <w:r>
              <w:rPr/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567"/>
              <w:jc w:val="both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Здание мойки грузового автотранспорта. Хоздвор.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Московская обл., Сергиево-Посадский городской округ, пгт. Богородское, д. 100 строение 15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Здание мойки грузового автотранспорта. Хоздвор.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Heading4"/>
        <w:tabs>
          <w:tab w:val="clear" w:pos="0"/>
        </w:tabs>
        <w:spacing w:before="0" w:after="0"/>
        <w:ind w:left="0" w:firstLine="709"/>
        <w:jc w:val="both"/>
        <w:rPr>
          <w:b w:val="false"/>
          <w:i/>
          <w:i/>
          <w:lang w:val="ru-RU"/>
        </w:rPr>
      </w:pPr>
      <w:r>
        <w:rPr>
          <w:b w:val="false"/>
          <w:i/>
          <w:lang w:val="ru-RU"/>
        </w:rPr>
      </w:r>
    </w:p>
    <w:p>
      <w:pPr>
        <w:pStyle w:val="Heading4"/>
        <w:tabs>
          <w:tab w:val="clear" w:pos="0"/>
        </w:tabs>
        <w:spacing w:before="0" w:after="0"/>
        <w:ind w:left="0" w:firstLine="709"/>
        <w:jc w:val="both"/>
        <w:rPr/>
      </w:pPr>
      <w:r>
        <w:rPr>
          <w:b w:val="false"/>
          <w:lang w:val="ru-RU"/>
        </w:rPr>
        <w:t>П</w:t>
      </w:r>
      <w:r>
        <w:rPr>
          <w:b w:val="false"/>
          <w:bCs w:val="false"/>
          <w:lang w:val="ru-RU"/>
        </w:rPr>
        <w:t xml:space="preserve">роведение кадастровых работ по подготовке документов для учета изменений сведений в Единый государственный реестр недвижимости об объекте недвижимости </w:t>
      </w:r>
      <w:r>
        <w:rPr>
          <w:b w:val="false"/>
          <w:bCs w:val="false"/>
          <w:sz w:val="24"/>
          <w:szCs w:val="24"/>
          <w:lang w:val="ru-RU"/>
        </w:rPr>
        <w:t xml:space="preserve">в части переименования объекта недвижимости - </w:t>
      </w:r>
      <w:r>
        <w:rPr>
          <w:rFonts w:eastAsia="Calibri" w:cs="" w:cstheme="minorBidi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>«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val="ru-RU"/>
        </w:rPr>
        <w:t>Здание мойки грузового автотранспорта. Хоздвор.</w:t>
      </w:r>
      <w:r>
        <w:rPr>
          <w:rFonts w:eastAsia="Calibri" w:cs="" w:cstheme="minorBidi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>»</w:t>
      </w:r>
      <w:r>
        <w:rPr>
          <w:b w:val="false"/>
          <w:bCs w:val="false"/>
        </w:rPr>
        <w:t xml:space="preserve"> осуществляется в условиях действующего предприятия без остановки рабочего процесса предприятия с наличием в зоне производства работ действующего технологического оборудования</w:t>
      </w:r>
      <w:r>
        <w:rPr>
          <w:b w:val="false"/>
          <w:bCs w:val="false"/>
          <w:lang w:val="ru-RU"/>
        </w:rPr>
        <w:t>.</w:t>
      </w:r>
    </w:p>
    <w:p>
      <w:pPr>
        <w:pStyle w:val="Heading4"/>
        <w:numPr>
          <w:ilvl w:val="0"/>
          <w:numId w:val="9"/>
        </w:numPr>
        <w:jc w:val="center"/>
        <w:rPr/>
      </w:pPr>
      <w:bookmarkStart w:id="4" w:name="_Toc124774115"/>
      <w:bookmarkStart w:id="5" w:name="_Toc51339693"/>
      <w:r>
        <w:rPr/>
        <w:t>Требования к продукции</w:t>
      </w:r>
      <w:bookmarkEnd w:id="4"/>
      <w:bookmarkEnd w:id="5"/>
    </w:p>
    <w:p>
      <w:pPr>
        <w:pStyle w:val="BodyText"/>
        <w:tabs>
          <w:tab w:val="clear" w:pos="708"/>
          <w:tab w:val="left" w:pos="564" w:leader="none"/>
        </w:tabs>
        <w:spacing w:before="0" w:after="0"/>
        <w:ind w:left="24" w:hanging="0"/>
        <w:jc w:val="both"/>
        <w:rPr>
          <w:sz w:val="24"/>
          <w:szCs w:val="24"/>
        </w:rPr>
      </w:pPr>
      <w:r>
        <w:rPr>
          <w:i/>
          <w:sz w:val="24"/>
          <w:szCs w:val="24"/>
        </w:rPr>
        <w:tab/>
      </w:r>
      <w:bookmarkStart w:id="6" w:name="_Toc51339695"/>
      <w:r>
        <w:rPr>
          <w:b/>
          <w:sz w:val="24"/>
          <w:szCs w:val="24"/>
        </w:rPr>
        <w:t xml:space="preserve">Таблица 2. Перечень </w:t>
      </w:r>
      <w:bookmarkEnd w:id="6"/>
      <w:r>
        <w:rPr>
          <w:b/>
          <w:sz w:val="24"/>
          <w:szCs w:val="24"/>
        </w:rPr>
        <w:t>и объем выполняемых работ</w:t>
      </w:r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49"/>
        <w:gridCol w:w="4846"/>
        <w:gridCol w:w="1995"/>
        <w:gridCol w:w="2119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975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документов для учета изменений сведений в Единый государственный реестр недвижимости об объекте недвижимости </w:t>
            </w:r>
            <w:r>
              <w:rPr>
                <w:b w:val="false"/>
                <w:bCs w:val="false"/>
                <w:sz w:val="24"/>
                <w:szCs w:val="24"/>
                <w:lang w:val="ru-RU"/>
              </w:rPr>
              <w:t xml:space="preserve">в части переименования объекта недвижимости - </w:t>
            </w:r>
            <w:r>
              <w:rPr>
                <w:rFonts w:eastAsia="Calibri" w:cs="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«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/>
              </w:rPr>
              <w:t>Здание мойки грузового автотранспорта. Хоздвор.</w:t>
            </w:r>
            <w:r>
              <w:rPr>
                <w:rFonts w:eastAsia="Calibri" w:cs="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», осуществляется</w:t>
            </w:r>
            <w:r>
              <w:rPr>
                <w:sz w:val="24"/>
                <w:szCs w:val="24"/>
              </w:rPr>
              <w:t xml:space="preserve"> в соответствии с </w:t>
            </w:r>
            <w:r>
              <w:rPr>
                <w:iCs/>
                <w:sz w:val="24"/>
                <w:szCs w:val="24"/>
              </w:rPr>
              <w:t xml:space="preserve">Федеральным законом от 24.07.2007 N 221-ФЗ "О кадастровой деятельности", Федерального закона от 13.07.2015 N 218-ФЗ "О государственной регистрации недвижимости". 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Технический план выполняется в виде графических и текстовых материалов в электронном виде на диске, в формате XML и в бумажном виде, в соответствии с требованиями, установленными законодательством Российской Федерации.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шт.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план на  </w:t>
            </w:r>
            <w:r>
              <w:rPr>
                <w:iCs/>
                <w:sz w:val="24"/>
                <w:szCs w:val="24"/>
              </w:rPr>
              <w:t>в электронном виде на диске, в формате XML 1 шт., технический план на бумажном носителе – 1 шт.</w:t>
            </w:r>
          </w:p>
        </w:tc>
      </w:tr>
    </w:tbl>
    <w:p>
      <w:pPr>
        <w:pStyle w:val="Heading4"/>
        <w:numPr>
          <w:ilvl w:val="0"/>
          <w:numId w:val="9"/>
        </w:numPr>
        <w:jc w:val="center"/>
        <w:rPr/>
      </w:pPr>
      <w:r>
        <w:rPr/>
        <w:t>Сроки оказания услуг</w:t>
      </w:r>
    </w:p>
    <w:p>
      <w:pPr>
        <w:pStyle w:val="Normal"/>
        <w:rPr>
          <w:sz w:val="24"/>
          <w:szCs w:val="24"/>
        </w:rPr>
      </w:pPr>
      <w:bookmarkStart w:id="7" w:name="_Toc51339697"/>
      <w:bookmarkStart w:id="8" w:name="_Toc50125127"/>
      <w:bookmarkStart w:id="9" w:name="_Toc50125126"/>
      <w:bookmarkEnd w:id="9"/>
      <w:r>
        <w:rPr>
          <w:b/>
          <w:sz w:val="24"/>
          <w:szCs w:val="24"/>
        </w:rPr>
        <w:t xml:space="preserve">Таблица 3. </w:t>
      </w:r>
      <w:bookmarkStart w:id="10" w:name="_Hlk50465284"/>
      <w:r>
        <w:rPr>
          <w:b/>
          <w:sz w:val="24"/>
          <w:szCs w:val="24"/>
        </w:rPr>
        <w:t xml:space="preserve">Сроки </w:t>
      </w:r>
      <w:bookmarkEnd w:id="7"/>
      <w:bookmarkEnd w:id="8"/>
      <w:bookmarkEnd w:id="10"/>
      <w:r>
        <w:rPr>
          <w:b/>
          <w:sz w:val="24"/>
          <w:szCs w:val="24"/>
        </w:rPr>
        <w:t>выполнения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работ.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79"/>
        <w:gridCol w:w="2701"/>
        <w:gridCol w:w="2977"/>
        <w:gridCol w:w="3260"/>
      </w:tblGrid>
      <w:tr>
        <w:trPr/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срока оказания услуг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срока оказания услуг</w:t>
            </w:r>
          </w:p>
        </w:tc>
      </w:tr>
      <w:tr>
        <w:trPr/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1191" w:right="57" w:hanging="850"/>
              <w:jc w:val="center"/>
              <w:rPr/>
            </w:pPr>
            <w:r>
              <w:rPr/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документов для учета изменений сведений в Единый государственный реестр недвижимости об объекте недвижимости</w:t>
            </w:r>
            <w:r>
              <w:rPr>
                <w:b w:val="false"/>
                <w:bCs w:val="false"/>
                <w:sz w:val="24"/>
                <w:szCs w:val="24"/>
                <w:lang w:val="ru-RU"/>
              </w:rPr>
              <w:t xml:space="preserve">в части переименования объекта недвижимости - </w:t>
            </w:r>
            <w:r>
              <w:rPr>
                <w:rFonts w:eastAsia="Calibri" w:cs="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«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/>
              </w:rPr>
              <w:t>Здание мойки грузового автотранспорта. Хоздвор.</w:t>
            </w:r>
            <w:r>
              <w:rPr>
                <w:rFonts w:eastAsia="Calibri" w:cs="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15 рабочих дней</w:t>
            </w:r>
          </w:p>
        </w:tc>
      </w:tr>
    </w:tbl>
    <w:p>
      <w:pPr>
        <w:pStyle w:val="Heading4"/>
        <w:numPr>
          <w:ilvl w:val="0"/>
          <w:numId w:val="9"/>
        </w:numPr>
        <w:jc w:val="center"/>
        <w:rPr/>
      </w:pPr>
      <w:bookmarkStart w:id="11" w:name="_Toc46743510"/>
      <w:bookmarkEnd w:id="11"/>
      <w:r>
        <w:rPr/>
        <w:t xml:space="preserve">Требования к качеству </w:t>
      </w:r>
      <w:r>
        <w:rPr>
          <w:lang w:val="ru-RU"/>
        </w:rPr>
        <w:t>работ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Таблица 4. Требования к качеству работ</w:t>
      </w:r>
    </w:p>
    <w:tbl>
      <w:tblPr>
        <w:tblStyle w:val="affff3"/>
        <w:tblW w:w="102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5"/>
        <w:gridCol w:w="2449"/>
        <w:gridCol w:w="6932"/>
      </w:tblGrid>
      <w:tr>
        <w:trPr>
          <w:trHeight w:val="276" w:hRule="atLeast"/>
        </w:trPr>
        <w:tc>
          <w:tcPr>
            <w:tcW w:w="8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44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93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Требование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en-US" w:eastAsia="ru-RU" w:bidi="ar-SA"/>
              </w:rPr>
              <w:t>З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аказчика</w:t>
            </w:r>
          </w:p>
        </w:tc>
      </w:tr>
      <w:tr>
        <w:trPr>
          <w:trHeight w:val="276" w:hRule="atLeast"/>
        </w:trPr>
        <w:tc>
          <w:tcPr>
            <w:tcW w:w="82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4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93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12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12"/>
          </w:p>
        </w:tc>
        <w:tc>
          <w:tcPr>
            <w:tcW w:w="24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9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оказанию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рабочих мест и допуск на рабочие места выполняет персонал Заказчика</w:t>
            </w:r>
          </w:p>
        </w:tc>
        <w:tc>
          <w:tcPr>
            <w:tcW w:w="69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Требования к безопасности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выполнения работ</w:t>
            </w:r>
          </w:p>
        </w:tc>
        <w:tc>
          <w:tcPr>
            <w:tcW w:w="69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Работы выполняются в соответствии с НТД, указанными в п..3 настоящей таблицы требований.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8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2.. Все работники, руководители и специалисты должны быть обеспечены своим работодателем средствами индивидуальной защиты (СИЗ) в соответствии с типовыми нормами. </w:t>
            </w:r>
            <w:r>
              <w:rPr>
                <w:rStyle w:val="1"/>
                <w:rFonts w:eastAsia="Times New Roman" w:cs="Times New Roman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При выполнении работ персонал должен применять СИЗ в обязательном порядке без исключений.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8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3.. 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способам выполнения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 xml:space="preserve">Требования 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en-US" w:eastAsia="ru-RU" w:bidi="ar-SA"/>
              </w:rPr>
              <w:t xml:space="preserve">к 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выполнению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работ</w:t>
            </w:r>
          </w:p>
        </w:tc>
        <w:tc>
          <w:tcPr>
            <w:tcW w:w="69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Работы выполняются в соответствии с данными техническими требованиями, требованиями по охране окружающей среды (Федеральный закон "Об охране окружающей среды" от 10.01.2002 N 7-ФЗ), Федерального закона от 24.07.2007 N 221-ФЗ "О кадастровой деятельности", Федерального закона от 13.07.2015 N 218-ФЗ "О государственной регистрации недвижимости"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выполнению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подготовительных мероприятий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подготовка рабочего места;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Мероприятия в процессе работ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Проведение необходимых мероприятий (топосъемка, подготовка схем и пр.) 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Организация мероприятий по выполнению работ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организационно-технические мероприятия по допуску персонала исполнителя;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подготовка объекта к сдаче-приемке: уборка рабочих мест, вывоз с территории оборудования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Результат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выполнения работ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Технический план выполняется в виде графических и текстовых материалов в электронном виде на диске, в формате XML и в бумажном виде, в соответствии с требованиями, установленными законодательством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использования результата выполнения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конфиденциальности данных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Любая информация, полученная Исполнителем в ходе ознакомления с производственными активами Заказчика, к которой  относятся и все знания о производственных активах Заказчика, содержанию его Производственных программ, производственных и бизнес-процессов Заказчика, которые Исполнитель получит или может получить в ходе выполнения ТО, является собственностью Заказчика и не может передаваться им третьим лицам, использоваться в своих целях, распространяться или тиражироваться любыми способами без письменного разрешения Заказчика.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приемке результата выполненных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Приемка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результата выполненных работ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Приемка результатов выполненных работ осуществляется по. Приемка качества выполнения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документации, описывающей результат выполненных работ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Оформление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результатов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оказания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услуг</w:t>
            </w:r>
          </w:p>
        </w:tc>
        <w:tc>
          <w:tcPr>
            <w:tcW w:w="69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направляет заказчику акт приемки-сдачи выполненных работ  по форме согласованной с заказчиком.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Задания на выполнение работ)</w:t>
            </w:r>
          </w:p>
        </w:tc>
      </w:tr>
      <w:tr>
        <w:trPr>
          <w:trHeight w:val="337" w:hRule="atLeast"/>
        </w:trPr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документов:</w:t>
            </w:r>
          </w:p>
        </w:tc>
        <w:tc>
          <w:tcPr>
            <w:tcW w:w="6932" w:type="dxa"/>
            <w:tcBorders/>
          </w:tcPr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При выполнении работ руководствоваться нормативно-технической документацией: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СТО РусГидро 05.02.126-2020 Правила организации безопасного обслуживания гидротехнических сооружений, гидросилового и гидромеханического оборудования гидроэлектростанций;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Правила по охране труда при эксплуатации электроустановок (Утв. Приказом Министерства труда и социальной защиты РФ от 24.07.2013 № 328н;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СТО РусГидро 02.01.80-2012 «Гидротехнические сооружения ГЭС и ГАЭС. Правила эксплуатации. Нормы и требования»;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СНиП 3.03.01-87 «Несущие и ограждающие конструкции»;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СНиП 12-0l-2004 «Организация строительства»;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СНиП 12-04-2002 «Безопасность труда в строительстве. Часть 2. Строительное производство»;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от 27.11.2020 № 835н «Об утверждении Правил по охране труда при работе с инструментом и приспособлениями»;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от 15.12.2020 № 902н «Об утверждении Правил по охране труда при работе в ограниченных и замкнутых пространствах»;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564" w:leader="none"/>
              </w:tabs>
              <w:suppressAutoHyphens w:val="true"/>
              <w:spacing w:before="0" w:after="0"/>
              <w:ind w:left="24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от 16.11.2020 № 782н «Об утверждении Правил по охране труда при работе на высоте»;</w:t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Правила противопожарного режима в Российской Федерации (утверждены постановлением Правительства РФ от 25 апреля 2012 г. N 390);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 МДС12-81.2007 «Методические рекомендации по разработке и оформлению проекта организации строительства и проекта производства работ».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Методика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Экологическая политика Группы РусГидро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от 09.08.2018.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81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</w:tr>
      <w:tr>
        <w:trPr/>
        <w:tc>
          <w:tcPr>
            <w:tcW w:w="8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4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Times New Roman" w:eastAsiaTheme="minorHAnsi"/>
                <w:kern w:val="0"/>
                <w:sz w:val="24"/>
                <w:szCs w:val="24"/>
                <w:lang w:val="ru-RU" w:eastAsia="ru-RU" w:bidi="ar-SA"/>
              </w:rPr>
              <w:t>Требования в отношении режима прохода на территорию заказчика и правила поведения на ней</w:t>
            </w:r>
          </w:p>
        </w:tc>
        <w:tc>
          <w:tcPr>
            <w:tcW w:w="6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Режим работы и прохода на территорию Филиала, доставку материалов и оборудования осуществлять в соответствии с Положением о пропускном и внутриобъектовом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режимах Филиала ПАО «РусГидро» - «Загорская ГАЭС».</w:t>
            </w:r>
          </w:p>
        </w:tc>
      </w:tr>
    </w:tbl>
    <w:p>
      <w:pPr>
        <w:pStyle w:val="Normal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</w:r>
    </w:p>
    <w:tbl>
      <w:tblPr>
        <w:tblW w:w="946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4820"/>
        <w:gridCol w:w="4643"/>
      </w:tblGrid>
      <w:tr>
        <w:trPr/>
        <w:tc>
          <w:tcPr>
            <w:tcW w:w="482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 </w:t>
            </w: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0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8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Style16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7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rsid w:val="00e228fa"/>
    <w:pPr/>
    <w:rPr/>
  </w:style>
  <w:style w:type="paragraph" w:styleId="Style22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4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7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NoNumberNonformat" w:customStyle="1">
    <w:name w:val="NoNumberNonformat"/>
    <w:uiPriority w:val="99"/>
    <w:qFormat/>
    <w:rsid w:val="007a62f4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32" w:customStyle="1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3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77E4D-18D3-4056-982D-671C855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AlterOffice/3.4.0.9$Linux_X86_64 LibreOffice_project/b8daf9e823b1a5463a2f48435ddc2e8696e7d4fc</Application>
  <AppVersion>15.0000</AppVersion>
  <Pages>5</Pages>
  <Words>1070</Words>
  <Characters>7490</Characters>
  <CharactersWithSpaces>8429</CharactersWithSpaces>
  <Paragraphs>145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2026-04-07T10:13:00Z</dcterms:created>
  <dc:creator>Быстров Олег Геннадьевич</dc:creator>
  <dc:description/>
  <dc:language>ru-RU</dc:language>
  <cp:lastModifiedBy>sokolovatl@corp.gidroogk.com</cp:lastModifiedBy>
  <cp:lastPrinted>2023-02-03T10:37:00Z</cp:lastPrinted>
  <dcterms:modified xsi:type="dcterms:W3CDTF">2026-05-13T08:18:29Z</dcterms:modified>
  <cp:revision>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